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D2A" w:rsidRPr="00E60D49" w:rsidTr="00141D2A">
        <w:tc>
          <w:tcPr>
            <w:tcW w:w="4785" w:type="dxa"/>
          </w:tcPr>
          <w:p w:rsidR="00141D2A" w:rsidRPr="00E60D49" w:rsidRDefault="00141D2A" w:rsidP="00141D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403E3" w:rsidRPr="0025187F" w:rsidRDefault="00D22970" w:rsidP="002518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03E3" w:rsidRP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:rsidR="00F403E3" w:rsidRPr="0025187F" w:rsidRDefault="0025187F" w:rsidP="002518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403E3" w:rsidRP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3E3" w:rsidRP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Новогродівської міської ради</w:t>
            </w:r>
            <w:r w:rsidR="008769B3" w:rsidRPr="0025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141D2A" w:rsidRPr="0025187F" w:rsidRDefault="00F403E3" w:rsidP="00912BAD">
            <w:pPr>
              <w:pStyle w:val="a8"/>
              <w:rPr>
                <w:sz w:val="28"/>
                <w:szCs w:val="28"/>
                <w:u w:val="single"/>
                <w:lang w:val="uk-UA"/>
              </w:rPr>
            </w:pPr>
            <w:r w:rsidRPr="0025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251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30.04.2021  № 8/10-</w:t>
            </w:r>
            <w:r w:rsidR="00912BA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</w:p>
        </w:tc>
      </w:tr>
    </w:tbl>
    <w:p w:rsidR="00141D2A" w:rsidRPr="00E60D49" w:rsidRDefault="00141D2A" w:rsidP="00141D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D2A" w:rsidRPr="00542EA2" w:rsidRDefault="00141D2A" w:rsidP="00542E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912BAD" w:rsidRDefault="00E918BE" w:rsidP="00542E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>«Р</w:t>
      </w:r>
      <w:r w:rsidR="00141D2A" w:rsidRPr="00542EA2">
        <w:rPr>
          <w:rFonts w:ascii="Times New Roman" w:hAnsi="Times New Roman" w:cs="Times New Roman"/>
          <w:b/>
          <w:sz w:val="24"/>
          <w:szCs w:val="24"/>
          <w:lang w:val="uk-UA"/>
        </w:rPr>
        <w:t>озвит</w:t>
      </w:r>
      <w:r w:rsidR="00222F33" w:rsidRPr="00542EA2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r w:rsidR="00141D2A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2DEA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підтримка </w:t>
      </w:r>
      <w:r w:rsidR="00912BAD" w:rsidRPr="00912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r w:rsidR="00912BAD" w:rsidRPr="00912BAD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 міської ради»</w:t>
      </w:r>
    </w:p>
    <w:p w:rsidR="00141D2A" w:rsidRPr="00542EA2" w:rsidRDefault="002D2DEA" w:rsidP="00542E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>на 2021-2023 роки</w:t>
      </w:r>
      <w:r w:rsidR="00E918BE" w:rsidRPr="00542EA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E21E2" w:rsidRPr="00542EA2" w:rsidRDefault="009E21E2" w:rsidP="00141D2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4D7F" w:rsidRPr="00542EA2" w:rsidRDefault="00141D2A" w:rsidP="00FC4D7F">
      <w:pPr>
        <w:tabs>
          <w:tab w:val="left" w:pos="709"/>
          <w:tab w:val="left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FC4D7F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>Загальна частина</w:t>
      </w:r>
    </w:p>
    <w:p w:rsidR="00141D2A" w:rsidRPr="00542EA2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Здоров’я є найважливішим з прав людини та найвищою людською цінністю, від якої залежить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</w:t>
      </w:r>
      <w:r w:rsidR="000016C5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як своє найголовніше завдання.</w:t>
      </w:r>
    </w:p>
    <w:p w:rsidR="00141D2A" w:rsidRPr="00542EA2" w:rsidRDefault="00141D2A" w:rsidP="00FC4D7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Світовий досвід, узагальнений в документах ВООЗ, показує, що одним із головних пріоритетів розвитку національної системи охорони здоров’я в умовах дефіциту фінансових і кадрових ресурсів, повинен бути розвиток первинної медико-санітарної допомоги на основі загальної практики – сімейної медицини. </w:t>
      </w:r>
    </w:p>
    <w:p w:rsidR="00141D2A" w:rsidRPr="00542EA2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Первинна медична допомога є базовим рівнем надання медичної допомоги в усьому світі. Програма </w:t>
      </w:r>
      <w:r w:rsidR="005B59C1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«Розвиток та підтримка КНП «ЦПМСД Новогродівської міської ради» на 2021-2023 роки»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(далі - Програма) потребує цільових фінансових зусиль, активних і скоординованих дій заклад</w:t>
      </w:r>
      <w:r w:rsidR="00E42110" w:rsidRPr="0054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здоров’я, спрямованих на забезпечення належних можливостей для наближення якісної первинної </w:t>
      </w:r>
      <w:r w:rsidR="00222F33" w:rsidRPr="00542EA2">
        <w:rPr>
          <w:rFonts w:ascii="Times New Roman" w:hAnsi="Times New Roman" w:cs="Times New Roman"/>
          <w:sz w:val="24"/>
          <w:szCs w:val="24"/>
          <w:lang w:val="uk-UA"/>
        </w:rPr>
        <w:t>медико-санітарної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на засадах сімейної медицини до населення, яке обслугову</w:t>
      </w:r>
      <w:r w:rsidR="002D2DEA" w:rsidRPr="00542EA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222F33" w:rsidRPr="00542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D2A" w:rsidRPr="00542EA2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Програма в свою чергу спрямована на налагодження ефективного функціонування системи первинної медико - санітарної допомоги на засадах загальної практики - сімейної медицини шляхом забезпечення справедливості і рівності у питаннях охорони здоров’я, створення умов для ефективного функціонування лікувально-профілактичних підрозділів Центр</w:t>
      </w:r>
      <w:r w:rsidR="00222F33" w:rsidRPr="0054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, поліпшення їх кадрового, матеріально-технічного забезпеченн</w:t>
      </w:r>
      <w:r w:rsidR="009E21E2" w:rsidRPr="00542EA2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9E21E2" w:rsidRPr="00542EA2" w:rsidRDefault="009E21E2" w:rsidP="00FC4D7F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="00FC4D7F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Обґрунтування Програми</w:t>
      </w:r>
    </w:p>
    <w:p w:rsidR="009E21E2" w:rsidRPr="00542EA2" w:rsidRDefault="009E21E2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розроблена з метою подальшого розвитку первинної </w:t>
      </w:r>
      <w:r w:rsidR="00D82A4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медико-санітарної допомоги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шляхом формування здорового способу життя, збереження і зміцнення здоров’я людей, раннього виявлення захворювань та їх ефективного лікування, а також з метою стабільного функціонування Центру, як комунальн</w:t>
      </w:r>
      <w:r w:rsidR="00E42110" w:rsidRPr="00542EA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некомерційн</w:t>
      </w:r>
      <w:r w:rsidR="00E42110" w:rsidRPr="00542EA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E42110" w:rsidRPr="00542E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та збереження </w:t>
      </w:r>
      <w:r w:rsidR="002D2DEA" w:rsidRPr="00542EA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інфраструктури. Передбачається цільове фінансування заходів Програми,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які мають значний вплив на вирішення найважливіших проблем розвитку первинної </w:t>
      </w:r>
      <w:r w:rsidR="00D82A4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медико-санітарної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населенню на засадах сімейної медицини. Програма підготовлена згідно чинного законодавства України, постанов Кабінету Міністрів України, наказів Міністерства охорони здоров’я України. </w:t>
      </w:r>
    </w:p>
    <w:p w:rsidR="009E21E2" w:rsidRPr="00542EA2" w:rsidRDefault="009E21E2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Діяльність комунального некомерційного підприємства охорони здоров’я</w:t>
      </w:r>
      <w:r w:rsidR="005B59C1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r w:rsidR="00E42110" w:rsidRPr="00542EA2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 реалізацію завдань по наданню населенню якісної медичної допомоги, виконанню заходів 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місцевих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медичних програм, щодо покращення стану здоров'я населення, розвитку системи охорони здоров'я. </w:t>
      </w:r>
    </w:p>
    <w:p w:rsidR="00FC4D7F" w:rsidRPr="00542EA2" w:rsidRDefault="00FC4D7F" w:rsidP="00FC4D7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9E21E2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E21E2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Програми </w:t>
      </w:r>
    </w:p>
    <w:p w:rsidR="007C2A26" w:rsidRPr="00542EA2" w:rsidRDefault="009E21E2" w:rsidP="007C2A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Головна мета Програми – створити необхідні умови для збереження та зміцнення соціальної стабільності, як основи економічного зростання та можливості реалізації пріоритетних завдань розвитку </w:t>
      </w:r>
      <w:r w:rsidR="00601924" w:rsidRPr="00542EA2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601924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. Забезпечити стабільну роботу Центр</w:t>
      </w:r>
      <w:r w:rsidR="00D82A4E" w:rsidRPr="00542E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, медичне обслуговування населення та його соціальний захист, поліпшення інвестиційного клімату. </w:t>
      </w:r>
    </w:p>
    <w:p w:rsidR="00601924" w:rsidRPr="00542EA2" w:rsidRDefault="00FC4D7F" w:rsidP="007C2A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r w:rsidR="00601924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01924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Програми </w:t>
      </w:r>
    </w:p>
    <w:p w:rsidR="00601924" w:rsidRPr="00542EA2" w:rsidRDefault="00601924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Основним завданням Програми є забе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зпечення стабільної діяльності 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некомерційн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«Центру первинної медико-санітарної допомоги Новогродівської міської ради»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та створення умов ефективного функціонування заклад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первинної медико-санітарної допомоги, а саме:</w:t>
      </w:r>
    </w:p>
    <w:p w:rsidR="00601924" w:rsidRPr="00542EA2" w:rsidRDefault="00601924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стану здоров’я усіх верств населення, зниження рівнів захворюваності, інвалідності, смертності, продовження активного довголіття і тривалості життя; </w:t>
      </w:r>
    </w:p>
    <w:p w:rsidR="00601924" w:rsidRPr="00542EA2" w:rsidRDefault="00601924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</w:t>
      </w:r>
      <w:r w:rsidR="00FC4D7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організації медико–санітарної допомоги населенню, забезпечення її високої якості та ефективності, пріоритетний розвиток первинної медико–санітарної допомоги на засадах сімейної медицини;</w:t>
      </w:r>
    </w:p>
    <w:p w:rsidR="005C48AF" w:rsidRPr="00542EA2" w:rsidRDefault="00601924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поступове зміщення пріоритетів з лікування хвороб на їх профілактику та із стаціонарної допомоги на амбулаторно-поліклінічну;</w:t>
      </w:r>
    </w:p>
    <w:p w:rsidR="00601924" w:rsidRPr="00542EA2" w:rsidRDefault="00601924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збереження інфраструктури Центр</w:t>
      </w:r>
      <w:r w:rsidR="00A1421E" w:rsidRPr="0054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601924" w:rsidRPr="00542EA2" w:rsidRDefault="00601924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ефективне використання та збереження майна комунальної власності, забезпечення своєчасного та якісного обслуговування будинків, споруд та прибудинкових території;</w:t>
      </w:r>
    </w:p>
    <w:p w:rsidR="00141D2A" w:rsidRPr="00542EA2" w:rsidRDefault="00506BA7" w:rsidP="00542EA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01924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1924" w:rsidRPr="00542EA2">
        <w:rPr>
          <w:rFonts w:ascii="Times New Roman" w:hAnsi="Times New Roman" w:cs="Times New Roman"/>
          <w:sz w:val="24"/>
          <w:szCs w:val="24"/>
          <w:lang w:val="uk-UA"/>
        </w:rPr>
        <w:t>забезпечення організації та надання медичної допомоги хворим на COVID-19 та вірусні пневмонії з невизначеним статусом та підозрою на COVID-19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BAD" w:rsidRDefault="00912BAD" w:rsidP="007C2A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8AF" w:rsidRPr="00542EA2" w:rsidRDefault="005C48AF" w:rsidP="007C2A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Реалізація Програми </w:t>
      </w:r>
    </w:p>
    <w:p w:rsidR="005C48AF" w:rsidRPr="00542EA2" w:rsidRDefault="005C48AF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політика у сфері охорони здоров’я спрямована на зміцнення здоров’я усіх верств населення </w:t>
      </w:r>
      <w:r w:rsidR="007B51A9" w:rsidRPr="00542EA2">
        <w:rPr>
          <w:rFonts w:ascii="Times New Roman" w:hAnsi="Times New Roman" w:cs="Times New Roman"/>
          <w:sz w:val="24"/>
          <w:szCs w:val="24"/>
          <w:lang w:val="uk-UA"/>
        </w:rPr>
        <w:t>громади,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тривалості активного життя, поліпшення демографічної ситуації, підвищення якості та ефективності первинної медико – санітарної допомоги, удосконалення фінансування, управління </w:t>
      </w:r>
      <w:r w:rsidR="007B51A9" w:rsidRPr="00542EA2">
        <w:rPr>
          <w:rFonts w:ascii="Times New Roman" w:hAnsi="Times New Roman" w:cs="Times New Roman"/>
          <w:sz w:val="24"/>
          <w:szCs w:val="24"/>
          <w:lang w:val="uk-UA"/>
        </w:rPr>
        <w:t>галуззю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та раціональне використання асигнувань на охорону здоров’я, а також забезпечення соціального захисту працівників Центр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48AF" w:rsidRPr="00542EA2" w:rsidRDefault="005C48AF" w:rsidP="00506BA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З метою успішної реалізації державної політики у сфері охорони здоров’я необхідно: </w:t>
      </w:r>
    </w:p>
    <w:p w:rsidR="005C48AF" w:rsidRPr="00542EA2" w:rsidRDefault="005C48AF" w:rsidP="00912BA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B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284B35" w:rsidRPr="00542EA2">
        <w:rPr>
          <w:rFonts w:ascii="Times New Roman" w:hAnsi="Times New Roman" w:cs="Times New Roman"/>
          <w:sz w:val="24"/>
          <w:szCs w:val="24"/>
          <w:lang w:val="uk-UA"/>
        </w:rPr>
        <w:t>ити пріоритетний розвиток Центра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і профілактичну роботу спрямовану на збереження і зміцнення здоров'я населення, з максимальним залученням органів виконавчої влади; </w:t>
      </w:r>
    </w:p>
    <w:p w:rsidR="005C48AF" w:rsidRPr="00542EA2" w:rsidRDefault="005C48AF" w:rsidP="00912BA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12B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межах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наданої компетенції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ефективне функціонування Це</w:t>
      </w:r>
      <w:r w:rsidR="00284B35" w:rsidRPr="00542EA2">
        <w:rPr>
          <w:rFonts w:ascii="Times New Roman" w:hAnsi="Times New Roman" w:cs="Times New Roman"/>
          <w:sz w:val="24"/>
          <w:szCs w:val="24"/>
          <w:lang w:val="uk-UA"/>
        </w:rPr>
        <w:t>нтра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C48AF" w:rsidRPr="00542EA2" w:rsidRDefault="00F8253B" w:rsidP="00912BA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B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будинків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споруд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та прибудинкових територій Центр</w:t>
      </w:r>
      <w:r w:rsidR="00284B35" w:rsidRPr="00542E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C48AF" w:rsidRDefault="00F8253B" w:rsidP="00912BA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2B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Покращити матеріально-технічну базу 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, що впливає як на саму можливість виконання медпрацівниками своїх функціональних обов′язків, так і на можливі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сть професійного удосконалення.</w:t>
      </w:r>
    </w:p>
    <w:p w:rsidR="00912BAD" w:rsidRDefault="00912BAD" w:rsidP="00506BA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8AF" w:rsidRPr="00542EA2" w:rsidRDefault="005C48AF" w:rsidP="00506BA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VІ. </w:t>
      </w:r>
      <w:r w:rsidR="00506BA7"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Фінансове забезпечення виконання Програми </w:t>
      </w:r>
    </w:p>
    <w:p w:rsidR="00351B41" w:rsidRPr="00542EA2" w:rsidRDefault="005C48AF" w:rsidP="00351B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Фінанс</w:t>
      </w:r>
      <w:r w:rsidR="007C2A26" w:rsidRPr="00542EA2">
        <w:rPr>
          <w:rFonts w:ascii="Times New Roman" w:hAnsi="Times New Roman" w:cs="Times New Roman"/>
          <w:sz w:val="24"/>
          <w:szCs w:val="24"/>
          <w:lang w:val="uk-UA"/>
        </w:rPr>
        <w:t>ування заходів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планується здійснювати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за рахунок коштів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A2162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Новогродівської міської територіальної громади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1B41" w:rsidRPr="00542EA2" w:rsidRDefault="005C48AF" w:rsidP="00351B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Фінансування заходів Програми здійснюється у межах видатків, що передбачені рішенням про бюджет Новогродівської міської територіальної громади на відповідний рік.</w:t>
      </w:r>
    </w:p>
    <w:p w:rsidR="00351B41" w:rsidRPr="00542EA2" w:rsidRDefault="00351B41" w:rsidP="00351B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заходів Програми буде здійснюватися з урахуванням реальних можливостей бюджету.</w:t>
      </w:r>
    </w:p>
    <w:p w:rsidR="00F8253B" w:rsidRPr="00542EA2" w:rsidRDefault="005C48AF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53B" w:rsidRPr="00542EA2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, як одержувач бюджетних коштів,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B41" w:rsidRPr="00542EA2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виділені асигнування згідно з планом використання бюджетних коштів, який погоджено з</w:t>
      </w:r>
      <w:r w:rsidR="009E72CC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A2162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головним розпорядником бюджетних коштів в особі керівника.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2BAD" w:rsidRDefault="00912BAD" w:rsidP="00A319B2">
      <w:pPr>
        <w:keepNext/>
        <w:keepLines/>
        <w:widowControl w:val="0"/>
        <w:tabs>
          <w:tab w:val="left" w:pos="3018"/>
        </w:tabs>
        <w:spacing w:afterLines="200" w:after="4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bookmark8"/>
    </w:p>
    <w:p w:rsidR="00A1421E" w:rsidRPr="00542EA2" w:rsidRDefault="00A1421E" w:rsidP="00A319B2">
      <w:pPr>
        <w:keepNext/>
        <w:keepLines/>
        <w:widowControl w:val="0"/>
        <w:tabs>
          <w:tab w:val="left" w:pos="3018"/>
        </w:tabs>
        <w:spacing w:afterLines="200" w:after="4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</w:rPr>
        <w:t>.     Очікувані</w:t>
      </w: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результати</w:t>
      </w: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2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виконання Програми:</w:t>
      </w:r>
      <w:bookmarkEnd w:id="0"/>
    </w:p>
    <w:p w:rsidR="00A1421E" w:rsidRPr="00542EA2" w:rsidRDefault="00A1421E" w:rsidP="00542EA2">
      <w:pPr>
        <w:widowControl w:val="0"/>
        <w:numPr>
          <w:ilvl w:val="0"/>
          <w:numId w:val="5"/>
        </w:numPr>
        <w:tabs>
          <w:tab w:val="left" w:pos="709"/>
        </w:tabs>
        <w:spacing w:afterLines="200" w:after="480" w:line="240" w:lineRule="auto"/>
        <w:ind w:firstLine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сформувати систему надання населенню доступних та високоякісних медичних послуг, що забезпечить зменшення потреби у дорогих видах медичної допомоги;</w:t>
      </w:r>
    </w:p>
    <w:p w:rsidR="00A1421E" w:rsidRPr="00542EA2" w:rsidRDefault="00A1421E" w:rsidP="00542EA2">
      <w:pPr>
        <w:widowControl w:val="0"/>
        <w:numPr>
          <w:ilvl w:val="0"/>
          <w:numId w:val="5"/>
        </w:numPr>
        <w:tabs>
          <w:tab w:val="left" w:pos="709"/>
        </w:tabs>
        <w:spacing w:afterLines="200" w:after="480" w:line="240" w:lineRule="auto"/>
        <w:ind w:firstLine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створити умови для повномасштабної реалізації принципу організації та координації надання пацієнтам первинної медико-санітарної допомоги;</w:t>
      </w:r>
    </w:p>
    <w:p w:rsidR="00A1421E" w:rsidRPr="00542EA2" w:rsidRDefault="00A1421E" w:rsidP="00542EA2">
      <w:pPr>
        <w:widowControl w:val="0"/>
        <w:numPr>
          <w:ilvl w:val="0"/>
          <w:numId w:val="5"/>
        </w:numPr>
        <w:tabs>
          <w:tab w:val="left" w:pos="709"/>
        </w:tabs>
        <w:spacing w:afterLines="200" w:after="480" w:line="240" w:lineRule="auto"/>
        <w:ind w:firstLine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покращити матеріально-технічний стан лікувально-профілактичних закладів, які надають первинну медичну допомогу;</w:t>
      </w:r>
    </w:p>
    <w:p w:rsidR="00A1421E" w:rsidRPr="00542EA2" w:rsidRDefault="00A1421E" w:rsidP="00542EA2">
      <w:pPr>
        <w:widowControl w:val="0"/>
        <w:numPr>
          <w:ilvl w:val="0"/>
          <w:numId w:val="5"/>
        </w:numPr>
        <w:tabs>
          <w:tab w:val="left" w:pos="709"/>
          <w:tab w:val="left" w:pos="1002"/>
        </w:tabs>
        <w:spacing w:afterLines="200" w:after="480" w:line="240" w:lineRule="auto"/>
        <w:ind w:firstLine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запровадження базового пакету медичних послуг;</w:t>
      </w:r>
    </w:p>
    <w:p w:rsidR="00A1421E" w:rsidRPr="00542EA2" w:rsidRDefault="00A1421E" w:rsidP="00542EA2">
      <w:pPr>
        <w:widowControl w:val="0"/>
        <w:numPr>
          <w:ilvl w:val="0"/>
          <w:numId w:val="5"/>
        </w:numPr>
        <w:tabs>
          <w:tab w:val="left" w:pos="709"/>
          <w:tab w:val="left" w:pos="1002"/>
        </w:tabs>
        <w:spacing w:afterLines="200" w:after="480" w:line="240" w:lineRule="auto"/>
        <w:ind w:firstLine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поліпшення надання медично-санітарної допомоги соціально незахищеним верствам населення.</w:t>
      </w:r>
    </w:p>
    <w:p w:rsidR="00542EA2" w:rsidRDefault="00542EA2" w:rsidP="00A319B2">
      <w:pPr>
        <w:widowControl w:val="0"/>
        <w:tabs>
          <w:tab w:val="left" w:pos="1002"/>
        </w:tabs>
        <w:spacing w:afterLines="200" w:after="480"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421E" w:rsidRPr="00542EA2" w:rsidRDefault="00A1421E" w:rsidP="00542EA2">
      <w:pPr>
        <w:widowControl w:val="0"/>
        <w:spacing w:afterLines="200" w:after="48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  <w:r w:rsidRPr="00542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VІІІ.  Система управління та контроль за ходом виконання Програми </w:t>
      </w:r>
    </w:p>
    <w:p w:rsidR="00A1421E" w:rsidRPr="00542EA2" w:rsidRDefault="00542EA2" w:rsidP="00542EA2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1421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Програми здійснює Новогродівська міська рада, відповідно до своїх повноважень визначених чинним законодавством України. </w:t>
      </w:r>
    </w:p>
    <w:p w:rsidR="00542EA2" w:rsidRDefault="00542EA2" w:rsidP="00542EA2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1421E" w:rsidRPr="00542EA2">
        <w:rPr>
          <w:rFonts w:ascii="Times New Roman" w:hAnsi="Times New Roman" w:cs="Times New Roman"/>
          <w:sz w:val="24"/>
          <w:szCs w:val="24"/>
          <w:lang w:val="uk-UA"/>
        </w:rPr>
        <w:t>Головний розпорядник коштів Новогродівська міська рада:</w:t>
      </w:r>
    </w:p>
    <w:p w:rsidR="00A1421E" w:rsidRPr="00542EA2" w:rsidRDefault="00A1421E" w:rsidP="00542EA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>контролює хід реалізації Програми;</w:t>
      </w:r>
    </w:p>
    <w:p w:rsidR="00A1421E" w:rsidRPr="00542EA2" w:rsidRDefault="00542EA2" w:rsidP="00542EA2">
      <w:pPr>
        <w:pStyle w:val="a6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421E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здійснює  контроль  за використанням коштів наданих на виконання Програми. </w:t>
      </w:r>
    </w:p>
    <w:p w:rsidR="00A1421E" w:rsidRPr="00542EA2" w:rsidRDefault="00A1421E" w:rsidP="00542EA2">
      <w:pPr>
        <w:widowControl w:val="0"/>
        <w:tabs>
          <w:tab w:val="left" w:pos="1002"/>
        </w:tabs>
        <w:spacing w:afterLines="200" w:after="480" w:line="240" w:lineRule="auto"/>
        <w:ind w:left="7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2162E" w:rsidRPr="00542EA2" w:rsidRDefault="00A2162E" w:rsidP="00506BA7">
      <w:pPr>
        <w:tabs>
          <w:tab w:val="lef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B35" w:rsidRPr="00542EA2" w:rsidRDefault="005C48AF" w:rsidP="00542EA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</w:p>
    <w:p w:rsidR="005C48AF" w:rsidRPr="00542EA2" w:rsidRDefault="00284B35" w:rsidP="00542EA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Новогродівської </w:t>
      </w:r>
      <w:r w:rsidR="005C48AF" w:rsidRPr="00542EA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66151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542EA2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542E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42EA2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Лілія </w:t>
      </w:r>
      <w:r w:rsidR="004A7C95" w:rsidRPr="00542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BA7" w:rsidRPr="00542EA2">
        <w:rPr>
          <w:rFonts w:ascii="Times New Roman" w:hAnsi="Times New Roman" w:cs="Times New Roman"/>
          <w:sz w:val="24"/>
          <w:szCs w:val="24"/>
          <w:lang w:val="uk-UA"/>
        </w:rPr>
        <w:t>БЕГАЛІ</w:t>
      </w:r>
    </w:p>
    <w:p w:rsidR="00141D2A" w:rsidRPr="00E60D49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D2A" w:rsidRPr="00E60D49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D2A" w:rsidRPr="00E60D49" w:rsidRDefault="00141D2A" w:rsidP="00141D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51" w:rsidRPr="00E60D49" w:rsidRDefault="00566151" w:rsidP="00141D2A">
      <w:pPr>
        <w:spacing w:line="360" w:lineRule="auto"/>
        <w:ind w:firstLine="709"/>
        <w:jc w:val="both"/>
        <w:rPr>
          <w:lang w:val="uk-UA"/>
        </w:rPr>
        <w:sectPr w:rsidR="00566151" w:rsidRPr="00E60D49" w:rsidSect="00912BAD">
          <w:headerReference w:type="default" r:id="rId8"/>
          <w:pgSz w:w="11906" w:h="16838"/>
          <w:pgMar w:top="709" w:right="566" w:bottom="567" w:left="1701" w:header="397" w:footer="708" w:gutter="0"/>
          <w:cols w:space="708"/>
          <w:titlePg/>
          <w:docGrid w:linePitch="360"/>
        </w:sectPr>
      </w:pPr>
    </w:p>
    <w:p w:rsidR="00566151" w:rsidRPr="00E60D49" w:rsidRDefault="009E72CC" w:rsidP="00566151">
      <w:pPr>
        <w:spacing w:after="0" w:line="240" w:lineRule="atLeast"/>
        <w:ind w:left="7797" w:firstLine="7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</w:t>
      </w:r>
    </w:p>
    <w:p w:rsidR="00566151" w:rsidRPr="00E60D49" w:rsidRDefault="00566151" w:rsidP="00566151">
      <w:pPr>
        <w:spacing w:after="0" w:line="240" w:lineRule="atLeast"/>
        <w:jc w:val="right"/>
        <w:rPr>
          <w:rFonts w:ascii="Times New Roman" w:hAnsi="Times New Roman"/>
          <w:lang w:val="uk-UA"/>
        </w:rPr>
      </w:pPr>
      <w:r w:rsidRPr="00E60D49">
        <w:rPr>
          <w:rFonts w:ascii="Times New Roman" w:hAnsi="Times New Roman"/>
          <w:lang w:val="uk-UA"/>
        </w:rPr>
        <w:t>до Програми</w:t>
      </w:r>
    </w:p>
    <w:p w:rsidR="00912BAD" w:rsidRDefault="00912BAD" w:rsidP="00566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6151" w:rsidRPr="00912BAD" w:rsidRDefault="00566151" w:rsidP="00566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12BAD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566151" w:rsidRPr="00912BAD" w:rsidRDefault="00566151" w:rsidP="00566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12BAD">
        <w:rPr>
          <w:rFonts w:ascii="Times New Roman" w:hAnsi="Times New Roman"/>
          <w:sz w:val="24"/>
          <w:szCs w:val="24"/>
          <w:lang w:val="uk-UA"/>
        </w:rPr>
        <w:t xml:space="preserve">завдань і заходів програми  «Розвиток та підтримка </w:t>
      </w:r>
      <w:r w:rsidR="009E72CC" w:rsidRPr="00912BAD">
        <w:rPr>
          <w:rFonts w:ascii="Times New Roman" w:hAnsi="Times New Roman" w:cs="Times New Roman"/>
          <w:sz w:val="24"/>
          <w:szCs w:val="24"/>
          <w:lang w:val="uk-UA"/>
        </w:rPr>
        <w:t>КНП «ЦПМСД Новогродівської міської ради</w:t>
      </w:r>
      <w:r w:rsidRPr="00912BAD">
        <w:rPr>
          <w:rFonts w:ascii="Times New Roman" w:hAnsi="Times New Roman"/>
          <w:sz w:val="24"/>
          <w:szCs w:val="24"/>
          <w:lang w:val="uk-UA"/>
        </w:rPr>
        <w:t>»</w:t>
      </w:r>
    </w:p>
    <w:p w:rsidR="00566151" w:rsidRPr="00912BAD" w:rsidRDefault="00566151" w:rsidP="00566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12BAD">
        <w:rPr>
          <w:rFonts w:ascii="Times New Roman" w:hAnsi="Times New Roman"/>
          <w:sz w:val="24"/>
          <w:szCs w:val="24"/>
          <w:lang w:val="uk-UA"/>
        </w:rPr>
        <w:t>на 202</w:t>
      </w:r>
      <w:r w:rsidR="00A548AB" w:rsidRPr="00912BAD">
        <w:rPr>
          <w:rFonts w:ascii="Times New Roman" w:hAnsi="Times New Roman"/>
          <w:sz w:val="24"/>
          <w:szCs w:val="24"/>
          <w:lang w:val="uk-UA"/>
        </w:rPr>
        <w:t>1</w:t>
      </w:r>
      <w:r w:rsidRPr="00912BAD">
        <w:rPr>
          <w:rFonts w:ascii="Times New Roman" w:hAnsi="Times New Roman"/>
          <w:sz w:val="24"/>
          <w:szCs w:val="24"/>
          <w:lang w:val="uk-UA"/>
        </w:rPr>
        <w:t>-202</w:t>
      </w:r>
      <w:r w:rsidR="002917CD" w:rsidRPr="00912BAD">
        <w:rPr>
          <w:rFonts w:ascii="Times New Roman" w:hAnsi="Times New Roman"/>
          <w:sz w:val="24"/>
          <w:szCs w:val="24"/>
          <w:lang w:val="uk-UA"/>
        </w:rPr>
        <w:t>3</w:t>
      </w:r>
      <w:r w:rsidRPr="00912BAD">
        <w:rPr>
          <w:rFonts w:ascii="Times New Roman" w:hAnsi="Times New Roman"/>
          <w:sz w:val="24"/>
          <w:szCs w:val="24"/>
          <w:lang w:val="uk-UA"/>
        </w:rPr>
        <w:t xml:space="preserve"> роки</w:t>
      </w:r>
    </w:p>
    <w:p w:rsidR="00566151" w:rsidRPr="00E60D49" w:rsidRDefault="00566151" w:rsidP="0056615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"/>
        <w:gridCol w:w="454"/>
        <w:gridCol w:w="3243"/>
        <w:gridCol w:w="4961"/>
        <w:gridCol w:w="1418"/>
        <w:gridCol w:w="850"/>
        <w:gridCol w:w="851"/>
        <w:gridCol w:w="850"/>
        <w:gridCol w:w="1972"/>
      </w:tblGrid>
      <w:tr w:rsidR="009E72CC" w:rsidRPr="00E60D49" w:rsidTr="00F87837">
        <w:trPr>
          <w:trHeight w:val="295"/>
          <w:jc w:val="center"/>
        </w:trPr>
        <w:tc>
          <w:tcPr>
            <w:tcW w:w="461" w:type="dxa"/>
            <w:gridSpan w:val="2"/>
            <w:vMerge w:val="restart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43" w:type="dxa"/>
            <w:vMerge w:val="restart"/>
            <w:vAlign w:val="center"/>
          </w:tcPr>
          <w:p w:rsidR="009E72CC" w:rsidRPr="00E60D49" w:rsidRDefault="009E72CC" w:rsidP="006C069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E72CC" w:rsidRPr="00E60D49" w:rsidRDefault="009E72CC" w:rsidP="00404E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Орієнтовні обсяги фінансування (тис. грн.)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E72CC" w:rsidRPr="00E60D49" w:rsidTr="009E72CC">
        <w:trPr>
          <w:trHeight w:val="245"/>
          <w:jc w:val="center"/>
        </w:trPr>
        <w:tc>
          <w:tcPr>
            <w:tcW w:w="461" w:type="dxa"/>
            <w:gridSpan w:val="2"/>
            <w:vMerge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972" w:type="dxa"/>
            <w:vMerge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72CC" w:rsidRPr="00E60D49" w:rsidTr="00F87837">
        <w:trPr>
          <w:cantSplit/>
          <w:trHeight w:val="209"/>
          <w:jc w:val="center"/>
        </w:trPr>
        <w:tc>
          <w:tcPr>
            <w:tcW w:w="461" w:type="dxa"/>
            <w:gridSpan w:val="2"/>
            <w:vMerge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2CC" w:rsidRPr="00E60D49" w:rsidRDefault="009E72CC" w:rsidP="006C3F2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972" w:type="dxa"/>
            <w:vMerge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72CC" w:rsidRPr="009E72CC" w:rsidTr="00F87837">
        <w:trPr>
          <w:gridBefore w:val="1"/>
          <w:wBefore w:w="7" w:type="dxa"/>
          <w:trHeight w:val="288"/>
          <w:jc w:val="center"/>
        </w:trPr>
        <w:tc>
          <w:tcPr>
            <w:tcW w:w="454" w:type="dxa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243" w:type="dxa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:rsidR="009E72CC" w:rsidRPr="009E72CC" w:rsidRDefault="009E72CC" w:rsidP="009E72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8</w:t>
            </w:r>
          </w:p>
        </w:tc>
      </w:tr>
      <w:tr w:rsidR="009E72CC" w:rsidRPr="00E60D49" w:rsidTr="009E72CC">
        <w:trPr>
          <w:gridBefore w:val="1"/>
          <w:wBefore w:w="7" w:type="dxa"/>
          <w:trHeight w:val="1280"/>
          <w:jc w:val="center"/>
        </w:trPr>
        <w:tc>
          <w:tcPr>
            <w:tcW w:w="454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43" w:type="dxa"/>
          </w:tcPr>
          <w:p w:rsidR="009E72CC" w:rsidRPr="00E60D49" w:rsidRDefault="009E72CC" w:rsidP="00A142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Надання фінансової підтримки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</w:t>
            </w:r>
            <w:r w:rsid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 метою забезпечення надання населенню </w:t>
            </w:r>
            <w:r w:rsid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громади первинної медико-санітарної допомоги </w:t>
            </w:r>
          </w:p>
        </w:tc>
        <w:tc>
          <w:tcPr>
            <w:tcW w:w="4961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E72CC" w:rsidRPr="00E60D49" w:rsidRDefault="006851FD" w:rsidP="00A905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5 33</w:t>
            </w:r>
            <w:r w:rsidR="00A905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="00A905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9E72CC" w:rsidP="00A905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2 533</w:t>
            </w:r>
          </w:p>
        </w:tc>
        <w:tc>
          <w:tcPr>
            <w:tcW w:w="851" w:type="dxa"/>
            <w:shd w:val="clear" w:color="auto" w:fill="auto"/>
          </w:tcPr>
          <w:p w:rsidR="009E72CC" w:rsidRPr="00E60D49" w:rsidRDefault="006851FD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1 363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6851FD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1 435,3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72CC" w:rsidRPr="00E60D49" w:rsidTr="00F87837">
        <w:trPr>
          <w:gridBefore w:val="1"/>
          <w:wBefore w:w="7" w:type="dxa"/>
          <w:trHeight w:val="1150"/>
          <w:jc w:val="center"/>
        </w:trPr>
        <w:tc>
          <w:tcPr>
            <w:tcW w:w="454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br w:type="page"/>
              <w:t>1.</w:t>
            </w:r>
          </w:p>
        </w:tc>
        <w:tc>
          <w:tcPr>
            <w:tcW w:w="3243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9E72CC" w:rsidRPr="00E60D49" w:rsidRDefault="009E72CC" w:rsidP="00F825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Забезпечити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комунально </w:t>
            </w:r>
            <w:r w:rsidRPr="00284B35">
              <w:rPr>
                <w:rFonts w:ascii="Times New Roman" w:hAnsi="Times New Roman"/>
                <w:sz w:val="20"/>
                <w:szCs w:val="20"/>
                <w:lang w:val="uk-UA"/>
              </w:rPr>
              <w:t>лікувальний заклад ,</w:t>
            </w: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нада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 </w:t>
            </w: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первинну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медико-санітарну</w:t>
            </w: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допомогу, видатками на оплату енергоносіїв та комунальних послуг</w:t>
            </w:r>
          </w:p>
        </w:tc>
        <w:tc>
          <w:tcPr>
            <w:tcW w:w="1418" w:type="dxa"/>
            <w:shd w:val="clear" w:color="auto" w:fill="auto"/>
          </w:tcPr>
          <w:p w:rsidR="009E72CC" w:rsidRPr="00E60D49" w:rsidRDefault="006851FD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2 721,5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855,7</w:t>
            </w:r>
          </w:p>
        </w:tc>
        <w:tc>
          <w:tcPr>
            <w:tcW w:w="851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908,8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957,0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Стале функціонування лікувального закладу</w:t>
            </w:r>
          </w:p>
        </w:tc>
      </w:tr>
      <w:tr w:rsidR="009E72CC" w:rsidRPr="00E60D49" w:rsidTr="00F87837">
        <w:trPr>
          <w:gridBefore w:val="1"/>
          <w:wBefore w:w="7" w:type="dxa"/>
          <w:trHeight w:val="510"/>
          <w:jc w:val="center"/>
        </w:trPr>
        <w:tc>
          <w:tcPr>
            <w:tcW w:w="454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243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молочними сумішами дітей пільгової категорії населення</w:t>
            </w:r>
          </w:p>
        </w:tc>
        <w:tc>
          <w:tcPr>
            <w:tcW w:w="1418" w:type="dxa"/>
            <w:shd w:val="clear" w:color="auto" w:fill="auto"/>
          </w:tcPr>
          <w:p w:rsidR="009E72CC" w:rsidRPr="00E60D49" w:rsidRDefault="00A1421E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127,9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45,0</w:t>
            </w:r>
          </w:p>
        </w:tc>
        <w:tc>
          <w:tcPr>
            <w:tcW w:w="1972" w:type="dxa"/>
            <w:shd w:val="clear" w:color="auto" w:fill="auto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дітей сухими сумішами.</w:t>
            </w:r>
          </w:p>
        </w:tc>
      </w:tr>
      <w:tr w:rsidR="009E72CC" w:rsidRPr="00E60D49" w:rsidTr="00877B4A">
        <w:trPr>
          <w:gridBefore w:val="1"/>
          <w:wBefore w:w="7" w:type="dxa"/>
          <w:trHeight w:val="20"/>
          <w:jc w:val="center"/>
        </w:trPr>
        <w:tc>
          <w:tcPr>
            <w:tcW w:w="454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243" w:type="dxa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безоплатним та пільговим відпуском лікарських засобів за рецептами лікарів у разі амбулаторного лікування окремих груп населення та за певними категоріями захворювань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72CC" w:rsidRPr="00E60D49" w:rsidRDefault="00A1421E" w:rsidP="006C069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1 232,3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72CC" w:rsidRPr="00E60D49" w:rsidRDefault="009E72CC" w:rsidP="006C069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433,3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2CC" w:rsidRPr="00E60D49" w:rsidRDefault="009E72CC" w:rsidP="00956F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Зниження захворюваності, інвалідизації населення та смертності, у т.ч. працездатного населення</w:t>
            </w:r>
          </w:p>
        </w:tc>
      </w:tr>
      <w:tr w:rsidR="00F87837" w:rsidRPr="009E72CC" w:rsidTr="00877B4A">
        <w:trPr>
          <w:gridBefore w:val="1"/>
          <w:wBefore w:w="7" w:type="dxa"/>
          <w:trHeight w:val="288"/>
          <w:jc w:val="center"/>
        </w:trPr>
        <w:tc>
          <w:tcPr>
            <w:tcW w:w="454" w:type="dxa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243" w:type="dxa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7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F87837" w:rsidRPr="009E72CC" w:rsidRDefault="00F87837" w:rsidP="00A15E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E72CC">
              <w:rPr>
                <w:rFonts w:ascii="Times New Roman" w:hAnsi="Times New Roman"/>
                <w:sz w:val="18"/>
                <w:szCs w:val="20"/>
                <w:lang w:val="uk-UA"/>
              </w:rPr>
              <w:t>8</w:t>
            </w:r>
          </w:p>
        </w:tc>
      </w:tr>
      <w:tr w:rsidR="00A90553" w:rsidRPr="00E60D49" w:rsidTr="00877B4A">
        <w:trPr>
          <w:gridBefore w:val="1"/>
          <w:wBefore w:w="7" w:type="dxa"/>
          <w:trHeight w:val="658"/>
          <w:jc w:val="center"/>
        </w:trPr>
        <w:tc>
          <w:tcPr>
            <w:tcW w:w="454" w:type="dxa"/>
            <w:vMerge w:val="restart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243" w:type="dxa"/>
            <w:vMerge w:val="restart"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лікувальні заклади, що надають первинну медичну допомогу видатками  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Покращання рівня надання медичної</w:t>
            </w:r>
          </w:p>
        </w:tc>
      </w:tr>
      <w:tr w:rsidR="00A90553" w:rsidRPr="00E60D49" w:rsidTr="00877B4A">
        <w:trPr>
          <w:gridBefore w:val="1"/>
          <w:wBefore w:w="7" w:type="dxa"/>
          <w:trHeight w:val="236"/>
          <w:jc w:val="center"/>
        </w:trPr>
        <w:tc>
          <w:tcPr>
            <w:tcW w:w="454" w:type="dxa"/>
            <w:vMerge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оплату праці і нарахування на заробітну плату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412,7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412,7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0553" w:rsidRPr="00E60D49" w:rsidTr="00877B4A">
        <w:trPr>
          <w:gridBefore w:val="1"/>
          <w:wBefore w:w="7" w:type="dxa"/>
          <w:trHeight w:val="405"/>
          <w:jc w:val="center"/>
        </w:trPr>
        <w:tc>
          <w:tcPr>
            <w:tcW w:w="454" w:type="dxa"/>
            <w:vMerge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предмети, матеріали, обладнання та інвентар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128,7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128,7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0553" w:rsidRPr="00E60D49" w:rsidTr="00877B4A">
        <w:trPr>
          <w:gridBefore w:val="1"/>
          <w:wBefore w:w="7" w:type="dxa"/>
          <w:trHeight w:val="360"/>
          <w:jc w:val="center"/>
        </w:trPr>
        <w:tc>
          <w:tcPr>
            <w:tcW w:w="454" w:type="dxa"/>
            <w:vMerge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медикаменти та перев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’</m:t>
              </m:r>
            </m:oMath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язувальні матеріали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81,2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81,2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0553" w:rsidRPr="00E60D49" w:rsidTr="00877B4A">
        <w:trPr>
          <w:gridBefore w:val="1"/>
          <w:wBefore w:w="7" w:type="dxa"/>
          <w:trHeight w:val="360"/>
          <w:jc w:val="center"/>
        </w:trPr>
        <w:tc>
          <w:tcPr>
            <w:tcW w:w="454" w:type="dxa"/>
            <w:vMerge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оплата послуг (крім комунальних)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0553" w:rsidRPr="00E60D49" w:rsidTr="00877B4A">
        <w:trPr>
          <w:gridBefore w:val="1"/>
          <w:wBefore w:w="7" w:type="dxa"/>
          <w:trHeight w:val="320"/>
          <w:jc w:val="center"/>
        </w:trPr>
        <w:tc>
          <w:tcPr>
            <w:tcW w:w="454" w:type="dxa"/>
            <w:vMerge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3" w:type="dxa"/>
            <w:vMerge/>
            <w:tcBorders>
              <w:right w:val="single" w:sz="4" w:space="0" w:color="auto"/>
            </w:tcBorders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інші поточні видатки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4 ,8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C00FD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4 ,8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53" w:rsidRPr="00E60D49" w:rsidRDefault="00A90553" w:rsidP="00404ED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553" w:rsidRPr="00E60D49" w:rsidRDefault="00A90553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4ED4" w:rsidRPr="00912BAD" w:rsidTr="00877B4A">
        <w:trPr>
          <w:gridBefore w:val="1"/>
          <w:wBefore w:w="7" w:type="dxa"/>
          <w:trHeight w:val="1248"/>
          <w:jc w:val="center"/>
        </w:trPr>
        <w:tc>
          <w:tcPr>
            <w:tcW w:w="454" w:type="dxa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243" w:type="dxa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04ED4" w:rsidRPr="00A1421E" w:rsidRDefault="00A1421E" w:rsidP="00A142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Страхування від </w:t>
            </w:r>
            <w:r w:rsidR="00404ED4"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1421E">
              <w:rPr>
                <w:rFonts w:ascii="Times New Roman" w:hAnsi="Times New Roman"/>
                <w:sz w:val="20"/>
                <w:szCs w:val="20"/>
                <w:lang w:val="uk-UA"/>
              </w:rPr>
              <w:t>корона вірусної</w:t>
            </w:r>
            <w:r w:rsidR="00404ED4"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</w:t>
            </w:r>
            <w:r w:rsidR="00404ED4"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COVID-19 медичних та інших працівників</w:t>
            </w:r>
            <w:r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1421E" w:rsidRPr="006851FD" w:rsidRDefault="00A1421E" w:rsidP="00404ED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04ED4" w:rsidRPr="006851FD" w:rsidRDefault="006851FD" w:rsidP="006851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04ED4" w:rsidRPr="006851FD" w:rsidRDefault="00404ED4" w:rsidP="006851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04ED4" w:rsidRPr="006851FD" w:rsidRDefault="00404ED4" w:rsidP="006851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851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4ED4" w:rsidRPr="00E60D49" w:rsidRDefault="00404ED4" w:rsidP="00404ED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04ED4" w:rsidRPr="00E60D49" w:rsidRDefault="00404ED4" w:rsidP="00404ED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04ED4" w:rsidRPr="00E60D49" w:rsidRDefault="00A1421E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421E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захисту працівників від</w:t>
            </w:r>
            <w:r w:rsidR="00404ED4"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1421E">
              <w:rPr>
                <w:rFonts w:ascii="Times New Roman" w:hAnsi="Times New Roman"/>
                <w:sz w:val="20"/>
                <w:szCs w:val="20"/>
                <w:lang w:val="uk-UA"/>
              </w:rPr>
              <w:t>корона вірусної</w:t>
            </w:r>
            <w:r w:rsidR="00404ED4" w:rsidRPr="00A142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інфекції COVID-19</w:t>
            </w:r>
          </w:p>
        </w:tc>
      </w:tr>
      <w:tr w:rsidR="00404ED4" w:rsidRPr="00E60D49" w:rsidTr="009E72CC">
        <w:trPr>
          <w:gridBefore w:val="1"/>
          <w:wBefore w:w="7" w:type="dxa"/>
          <w:trHeight w:val="227"/>
          <w:jc w:val="center"/>
        </w:trPr>
        <w:tc>
          <w:tcPr>
            <w:tcW w:w="454" w:type="dxa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243" w:type="dxa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заходів протипожежної безпеки</w:t>
            </w:r>
          </w:p>
        </w:tc>
        <w:tc>
          <w:tcPr>
            <w:tcW w:w="1418" w:type="dxa"/>
            <w:shd w:val="clear" w:color="auto" w:fill="auto"/>
          </w:tcPr>
          <w:p w:rsidR="00404ED4" w:rsidRPr="00E60D49" w:rsidRDefault="00A1421E" w:rsidP="006851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469,0</w:t>
            </w:r>
          </w:p>
        </w:tc>
        <w:tc>
          <w:tcPr>
            <w:tcW w:w="850" w:type="dxa"/>
            <w:shd w:val="clear" w:color="auto" w:fill="auto"/>
          </w:tcPr>
          <w:p w:rsidR="00404ED4" w:rsidRPr="00E60D49" w:rsidRDefault="00404ED4" w:rsidP="006851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469,0</w:t>
            </w:r>
          </w:p>
        </w:tc>
        <w:tc>
          <w:tcPr>
            <w:tcW w:w="851" w:type="dxa"/>
            <w:shd w:val="clear" w:color="auto" w:fill="auto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04ED4" w:rsidRPr="00E60D49" w:rsidRDefault="00404ED4" w:rsidP="00404ED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0D49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рівня протипожежної безпеки</w:t>
            </w:r>
          </w:p>
        </w:tc>
      </w:tr>
    </w:tbl>
    <w:p w:rsidR="00566151" w:rsidRDefault="00566151" w:rsidP="00404ED4">
      <w:pPr>
        <w:spacing w:line="360" w:lineRule="auto"/>
        <w:ind w:firstLine="709"/>
        <w:jc w:val="both"/>
        <w:rPr>
          <w:lang w:val="uk-UA"/>
        </w:rPr>
      </w:pPr>
    </w:p>
    <w:p w:rsidR="00912BAD" w:rsidRDefault="00912BAD" w:rsidP="00404ED4">
      <w:pPr>
        <w:spacing w:line="360" w:lineRule="auto"/>
        <w:ind w:firstLine="709"/>
        <w:jc w:val="both"/>
        <w:rPr>
          <w:lang w:val="uk-UA"/>
        </w:rPr>
      </w:pPr>
    </w:p>
    <w:p w:rsidR="00912BAD" w:rsidRP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912BA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912BAD">
        <w:rPr>
          <w:rFonts w:ascii="Times New Roman" w:hAnsi="Times New Roman" w:cs="Times New Roman"/>
          <w:sz w:val="24"/>
          <w:szCs w:val="24"/>
          <w:lang w:val="uk-UA"/>
        </w:rPr>
        <w:t xml:space="preserve">Новогродівської міської ради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912BAD">
        <w:rPr>
          <w:rFonts w:ascii="Times New Roman" w:hAnsi="Times New Roman" w:cs="Times New Roman"/>
          <w:sz w:val="24"/>
          <w:szCs w:val="24"/>
          <w:lang w:val="uk-UA"/>
        </w:rPr>
        <w:t>Лілія БЄГАЛІ</w:t>
      </w: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Pr="00912BAD" w:rsidRDefault="00912BAD" w:rsidP="00912BAD">
      <w:pPr>
        <w:pStyle w:val="a8"/>
        <w:jc w:val="both"/>
        <w:rPr>
          <w:rFonts w:ascii="Times New Roman" w:eastAsia="Times New Roman" w:hAnsi="Times New Roman" w:cs="Times New Roman"/>
          <w:lang w:val="uk-UA"/>
        </w:rPr>
      </w:pPr>
      <w:r w:rsidRPr="00912BAD">
        <w:rPr>
          <w:rFonts w:ascii="Times New Roman" w:hAnsi="Times New Roman" w:cs="Times New Roman"/>
          <w:lang w:val="uk-UA"/>
        </w:rPr>
        <w:t>Заходи підготовлено</w:t>
      </w:r>
      <w:r w:rsidRPr="00912BA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>Комунальн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>им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 xml:space="preserve"> некомерційн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>им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 xml:space="preserve"> підприємств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>ом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 xml:space="preserve"> «Центр первинної медико-санітарної допомоги Новогродівської міської ради»</w:t>
      </w:r>
      <w:r w:rsidRPr="00912BAD">
        <w:rPr>
          <w:rFonts w:ascii="Times New Roman" w:eastAsia="Times New Roman" w:hAnsi="Times New Roman" w:cs="Times New Roman"/>
          <w:color w:val="000000"/>
          <w:lang w:val="uk-UA"/>
        </w:rPr>
        <w:t>, директор Т.Мальчина</w:t>
      </w:r>
      <w:bookmarkStart w:id="1" w:name="_GoBack"/>
      <w:bookmarkEnd w:id="1"/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912BAD" w:rsidRPr="00912BAD" w:rsidRDefault="00912BAD" w:rsidP="00912B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BAD" w:rsidRPr="00912BAD" w:rsidSect="00566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F8" w:rsidRDefault="00213FF8" w:rsidP="00542EA2">
      <w:pPr>
        <w:spacing w:after="0" w:line="240" w:lineRule="auto"/>
      </w:pPr>
      <w:r>
        <w:separator/>
      </w:r>
    </w:p>
  </w:endnote>
  <w:endnote w:type="continuationSeparator" w:id="0">
    <w:p w:rsidR="00213FF8" w:rsidRDefault="00213FF8" w:rsidP="005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F8" w:rsidRDefault="00213FF8" w:rsidP="00542EA2">
      <w:pPr>
        <w:spacing w:after="0" w:line="240" w:lineRule="auto"/>
      </w:pPr>
      <w:r>
        <w:separator/>
      </w:r>
    </w:p>
  </w:footnote>
  <w:footnote w:type="continuationSeparator" w:id="0">
    <w:p w:rsidR="00213FF8" w:rsidRDefault="00213FF8" w:rsidP="0054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14361"/>
      <w:docPartObj>
        <w:docPartGallery w:val="Page Numbers (Top of Page)"/>
        <w:docPartUnique/>
      </w:docPartObj>
    </w:sdtPr>
    <w:sdtEndPr/>
    <w:sdtContent>
      <w:p w:rsidR="00542EA2" w:rsidRDefault="00542E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AD">
          <w:rPr>
            <w:noProof/>
          </w:rPr>
          <w:t>6</w:t>
        </w:r>
        <w:r>
          <w:fldChar w:fldCharType="end"/>
        </w:r>
      </w:p>
    </w:sdtContent>
  </w:sdt>
  <w:p w:rsidR="00542EA2" w:rsidRDefault="00542E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0AD2"/>
    <w:multiLevelType w:val="multilevel"/>
    <w:tmpl w:val="774E5B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377D11"/>
    <w:multiLevelType w:val="hybridMultilevel"/>
    <w:tmpl w:val="8B7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280B"/>
    <w:multiLevelType w:val="hybridMultilevel"/>
    <w:tmpl w:val="EC5AD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3C7143"/>
    <w:multiLevelType w:val="multilevel"/>
    <w:tmpl w:val="ACC80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836F6"/>
    <w:multiLevelType w:val="hybridMultilevel"/>
    <w:tmpl w:val="9CB0A63A"/>
    <w:lvl w:ilvl="0" w:tplc="C2943C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AEB"/>
    <w:rsid w:val="000016C5"/>
    <w:rsid w:val="000C0AEB"/>
    <w:rsid w:val="00141D2A"/>
    <w:rsid w:val="001A7EAF"/>
    <w:rsid w:val="001F0137"/>
    <w:rsid w:val="00213FF8"/>
    <w:rsid w:val="00222F33"/>
    <w:rsid w:val="002238D6"/>
    <w:rsid w:val="002332C8"/>
    <w:rsid w:val="0025187F"/>
    <w:rsid w:val="00284B35"/>
    <w:rsid w:val="002917CD"/>
    <w:rsid w:val="002D2DEA"/>
    <w:rsid w:val="00347026"/>
    <w:rsid w:val="00351B41"/>
    <w:rsid w:val="003B3BA1"/>
    <w:rsid w:val="00404ED4"/>
    <w:rsid w:val="004A7C95"/>
    <w:rsid w:val="004D49EA"/>
    <w:rsid w:val="00506BA7"/>
    <w:rsid w:val="00542EA2"/>
    <w:rsid w:val="00566151"/>
    <w:rsid w:val="005B59C1"/>
    <w:rsid w:val="005C48AF"/>
    <w:rsid w:val="00601924"/>
    <w:rsid w:val="006851FD"/>
    <w:rsid w:val="006C3F28"/>
    <w:rsid w:val="006F3712"/>
    <w:rsid w:val="007B51A9"/>
    <w:rsid w:val="007C2A26"/>
    <w:rsid w:val="007D3385"/>
    <w:rsid w:val="008053A3"/>
    <w:rsid w:val="0082259E"/>
    <w:rsid w:val="00825C3F"/>
    <w:rsid w:val="008769B3"/>
    <w:rsid w:val="00877B4A"/>
    <w:rsid w:val="008D524A"/>
    <w:rsid w:val="00900DCD"/>
    <w:rsid w:val="00912BAD"/>
    <w:rsid w:val="00926C8A"/>
    <w:rsid w:val="009418C2"/>
    <w:rsid w:val="00956F2D"/>
    <w:rsid w:val="009C793A"/>
    <w:rsid w:val="009E21E2"/>
    <w:rsid w:val="009E72CC"/>
    <w:rsid w:val="00A1421E"/>
    <w:rsid w:val="00A2162E"/>
    <w:rsid w:val="00A319B2"/>
    <w:rsid w:val="00A548AB"/>
    <w:rsid w:val="00A90553"/>
    <w:rsid w:val="00B874F6"/>
    <w:rsid w:val="00BC1A76"/>
    <w:rsid w:val="00C010AE"/>
    <w:rsid w:val="00C23BC0"/>
    <w:rsid w:val="00C73E0E"/>
    <w:rsid w:val="00D22970"/>
    <w:rsid w:val="00D25106"/>
    <w:rsid w:val="00D82A4E"/>
    <w:rsid w:val="00DB15AD"/>
    <w:rsid w:val="00DD5377"/>
    <w:rsid w:val="00E04D1C"/>
    <w:rsid w:val="00E356B0"/>
    <w:rsid w:val="00E42110"/>
    <w:rsid w:val="00E60D49"/>
    <w:rsid w:val="00E74CC0"/>
    <w:rsid w:val="00E918BE"/>
    <w:rsid w:val="00EC5EC5"/>
    <w:rsid w:val="00F17EB0"/>
    <w:rsid w:val="00F403E3"/>
    <w:rsid w:val="00F8253B"/>
    <w:rsid w:val="00F87837"/>
    <w:rsid w:val="00FA1EC9"/>
    <w:rsid w:val="00FB3A53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CF0"/>
  <w15:docId w15:val="{252768FD-86E2-4534-8B4A-0B1AE135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93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5187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EA2"/>
  </w:style>
  <w:style w:type="paragraph" w:styleId="ac">
    <w:name w:val="footer"/>
    <w:basedOn w:val="a"/>
    <w:link w:val="ad"/>
    <w:uiPriority w:val="99"/>
    <w:unhideWhenUsed/>
    <w:rsid w:val="005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EA2"/>
  </w:style>
  <w:style w:type="character" w:customStyle="1" w:styleId="a9">
    <w:name w:val="Без интервала Знак"/>
    <w:basedOn w:val="a0"/>
    <w:link w:val="a8"/>
    <w:uiPriority w:val="1"/>
    <w:rsid w:val="0091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17698-E64D-4267-B507-A8176A55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6038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19</cp:revision>
  <cp:lastPrinted>2021-05-11T06:56:00Z</cp:lastPrinted>
  <dcterms:created xsi:type="dcterms:W3CDTF">2021-04-14T06:26:00Z</dcterms:created>
  <dcterms:modified xsi:type="dcterms:W3CDTF">2021-05-11T06:57:00Z</dcterms:modified>
</cp:coreProperties>
</file>